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5C4" w:rsidRDefault="000165C4">
      <w:bookmarkStart w:id="0" w:name="_GoBack"/>
      <w:bookmarkEnd w:id="0"/>
    </w:p>
    <w:p w:rsidR="000165C4" w:rsidRDefault="000165C4">
      <w:pPr>
        <w:jc w:val="center"/>
        <w:rPr>
          <w:b/>
          <w:sz w:val="28"/>
        </w:rPr>
      </w:pPr>
      <w:r>
        <w:rPr>
          <w:b/>
          <w:sz w:val="28"/>
        </w:rPr>
        <w:t>USE OF EXISTING GOVERNMENT PROPERTY</w:t>
      </w:r>
    </w:p>
    <w:p w:rsidR="000165C4" w:rsidRDefault="000165C4">
      <w:pPr>
        <w:rPr>
          <w:b/>
          <w:sz w:val="18"/>
        </w:rPr>
      </w:pPr>
    </w:p>
    <w:p w:rsidR="000165C4" w:rsidRDefault="000165C4">
      <w:pPr>
        <w:numPr>
          <w:ilvl w:val="0"/>
          <w:numId w:val="5"/>
        </w:numPr>
        <w:spacing w:after="40" w:line="200" w:lineRule="exact"/>
        <w:rPr>
          <w:sz w:val="18"/>
        </w:rPr>
      </w:pPr>
      <w:r>
        <w:rPr>
          <w:sz w:val="18"/>
        </w:rPr>
        <w:t xml:space="preserve">The bidder, offeror, applicant, or subcontractor (hereinafter offeror) shall state whether, in the performance of the contract, </w:t>
      </w:r>
      <w:r w:rsidR="00EE3616">
        <w:rPr>
          <w:sz w:val="18"/>
        </w:rPr>
        <w:t>it</w:t>
      </w:r>
      <w:r>
        <w:rPr>
          <w:sz w:val="18"/>
        </w:rPr>
        <w:t xml:space="preserve"> will require the rent-free use of existing Government-owned production/research property currently in </w:t>
      </w:r>
      <w:r w:rsidR="00EE3616">
        <w:rPr>
          <w:sz w:val="18"/>
        </w:rPr>
        <w:t>its</w:t>
      </w:r>
      <w:r>
        <w:rPr>
          <w:sz w:val="18"/>
        </w:rPr>
        <w:t xml:space="preserve"> possession or in the possession of </w:t>
      </w:r>
      <w:r w:rsidR="00EE3616">
        <w:rPr>
          <w:sz w:val="18"/>
        </w:rPr>
        <w:t>its</w:t>
      </w:r>
      <w:r>
        <w:rPr>
          <w:sz w:val="18"/>
        </w:rPr>
        <w:t xml:space="preserve"> subcontractors. </w:t>
      </w:r>
      <w:r>
        <w:rPr>
          <w:b/>
          <w:sz w:val="18"/>
        </w:rPr>
        <w:t xml:space="preserve">HOWEVER, THE OFFEROR SHOULD NOT INCLUDE IN </w:t>
      </w:r>
      <w:r w:rsidR="00EE3616">
        <w:rPr>
          <w:b/>
          <w:sz w:val="18"/>
        </w:rPr>
        <w:t>ITS</w:t>
      </w:r>
      <w:r>
        <w:rPr>
          <w:b/>
          <w:sz w:val="18"/>
        </w:rPr>
        <w:t xml:space="preserve"> COST OR PRICE PROPOSAL ANY ELEMENT OF COST OR EXPENSE ATTRIBUTABLE TO PAYMENT BY OFFEROR UNDER ANY OTHER CONTRACT OR A USE CHARGE FOR SUCH GOVERNMENT-OWNED PROPERTY</w:t>
      </w:r>
      <w:r>
        <w:rPr>
          <w:sz w:val="18"/>
        </w:rPr>
        <w:t>.</w:t>
      </w:r>
    </w:p>
    <w:p w:rsidR="000165C4" w:rsidRDefault="000165C4">
      <w:pPr>
        <w:spacing w:after="40" w:line="200" w:lineRule="exact"/>
        <w:ind w:left="360"/>
        <w:rPr>
          <w:sz w:val="18"/>
        </w:rPr>
      </w:pPr>
      <w:r>
        <w:rPr>
          <w:sz w:val="18"/>
        </w:rPr>
        <w:t xml:space="preserve">Offeror shall submit with </w:t>
      </w:r>
      <w:r w:rsidR="00EE3616">
        <w:rPr>
          <w:sz w:val="18"/>
        </w:rPr>
        <w:t>its</w:t>
      </w:r>
      <w:r>
        <w:rPr>
          <w:sz w:val="18"/>
        </w:rPr>
        <w:t xml:space="preserve"> proposal the following:</w:t>
      </w:r>
    </w:p>
    <w:p w:rsidR="000165C4" w:rsidRDefault="000165C4">
      <w:pPr>
        <w:numPr>
          <w:ilvl w:val="0"/>
          <w:numId w:val="6"/>
        </w:numPr>
        <w:tabs>
          <w:tab w:val="clear" w:pos="360"/>
          <w:tab w:val="num" w:pos="720"/>
        </w:tabs>
        <w:spacing w:after="40" w:line="200" w:lineRule="exact"/>
        <w:ind w:left="720"/>
        <w:rPr>
          <w:sz w:val="18"/>
        </w:rPr>
      </w:pPr>
      <w:r>
        <w:rPr>
          <w:sz w:val="18"/>
        </w:rPr>
        <w:t xml:space="preserve">An itemized list or description of all Government property in possession of the offeror and </w:t>
      </w:r>
      <w:r w:rsidR="00EE3616">
        <w:rPr>
          <w:sz w:val="18"/>
        </w:rPr>
        <w:t>its</w:t>
      </w:r>
      <w:r>
        <w:rPr>
          <w:sz w:val="18"/>
        </w:rPr>
        <w:t xml:space="preserve"> anticipated subcontractors proposed to be used on a rent-free basis.</w:t>
      </w:r>
    </w:p>
    <w:p w:rsidR="000165C4" w:rsidRDefault="000165C4">
      <w:pPr>
        <w:numPr>
          <w:ilvl w:val="0"/>
          <w:numId w:val="6"/>
        </w:numPr>
        <w:tabs>
          <w:tab w:val="clear" w:pos="360"/>
          <w:tab w:val="num" w:pos="720"/>
        </w:tabs>
        <w:spacing w:after="40" w:line="200" w:lineRule="exact"/>
        <w:ind w:left="720"/>
        <w:rPr>
          <w:sz w:val="18"/>
        </w:rPr>
      </w:pPr>
      <w:r>
        <w:rPr>
          <w:sz w:val="18"/>
        </w:rPr>
        <w:t>Identification of the facilities contract or other instrument under which the property is held and the written permission of the Contracting Officer having cognizance of the property for use of that property in the performance of this contract without charge for such use.</w:t>
      </w:r>
    </w:p>
    <w:p w:rsidR="000165C4" w:rsidRDefault="000165C4">
      <w:pPr>
        <w:numPr>
          <w:ilvl w:val="0"/>
          <w:numId w:val="6"/>
        </w:numPr>
        <w:tabs>
          <w:tab w:val="clear" w:pos="360"/>
          <w:tab w:val="num" w:pos="720"/>
        </w:tabs>
        <w:spacing w:after="40" w:line="200" w:lineRule="exact"/>
        <w:ind w:left="720"/>
        <w:rPr>
          <w:sz w:val="18"/>
        </w:rPr>
      </w:pPr>
      <w:r>
        <w:rPr>
          <w:sz w:val="18"/>
        </w:rPr>
        <w:t>The amount of use (in months) to be made of such property, and with respect to any such property that will be used concurrently in the performance of two or more contracts, the amounts of the respective users of the property during the period of the contract.</w:t>
      </w:r>
    </w:p>
    <w:p w:rsidR="000165C4" w:rsidRDefault="000165C4">
      <w:pPr>
        <w:numPr>
          <w:ilvl w:val="0"/>
          <w:numId w:val="6"/>
        </w:numPr>
        <w:tabs>
          <w:tab w:val="clear" w:pos="360"/>
          <w:tab w:val="num" w:pos="720"/>
        </w:tabs>
        <w:spacing w:after="40" w:line="200" w:lineRule="exact"/>
        <w:ind w:left="720"/>
        <w:rPr>
          <w:sz w:val="18"/>
        </w:rPr>
      </w:pPr>
      <w:r>
        <w:rPr>
          <w:sz w:val="18"/>
        </w:rPr>
        <w:t>The amount of rent which would otherwise be charged for such use, computed in accordance with the procedures outlined in paragraph (b) below.</w:t>
      </w:r>
    </w:p>
    <w:p w:rsidR="000165C4" w:rsidRDefault="000165C4">
      <w:pPr>
        <w:tabs>
          <w:tab w:val="left" w:pos="360"/>
        </w:tabs>
        <w:spacing w:line="200" w:lineRule="exact"/>
        <w:rPr>
          <w:sz w:val="18"/>
        </w:rPr>
      </w:pPr>
      <w:r>
        <w:rPr>
          <w:sz w:val="18"/>
        </w:rPr>
        <w:t>(b)</w:t>
      </w:r>
      <w:r>
        <w:rPr>
          <w:sz w:val="18"/>
        </w:rPr>
        <w:tab/>
        <w:t>(1)</w:t>
      </w:r>
      <w:r>
        <w:rPr>
          <w:sz w:val="18"/>
        </w:rPr>
        <w:tab/>
        <w:t>The amount of rent shall be determined by applying the appropriate rental shown in subparagraph (b)(3) below to the</w:t>
      </w:r>
    </w:p>
    <w:p w:rsidR="000165C4" w:rsidRDefault="000165C4">
      <w:pPr>
        <w:tabs>
          <w:tab w:val="left" w:pos="360"/>
        </w:tabs>
        <w:spacing w:line="200" w:lineRule="exact"/>
        <w:rPr>
          <w:sz w:val="18"/>
        </w:rPr>
      </w:pPr>
      <w:r>
        <w:rPr>
          <w:sz w:val="18"/>
        </w:rPr>
        <w:tab/>
      </w:r>
      <w:r>
        <w:rPr>
          <w:sz w:val="18"/>
        </w:rPr>
        <w:tab/>
        <w:t>acquisition cost of such facilities authorized for use in accordance with paragraph (a)(2) above. Acquisition cost shall be</w:t>
      </w:r>
    </w:p>
    <w:p w:rsidR="000165C4" w:rsidRDefault="000165C4">
      <w:pPr>
        <w:tabs>
          <w:tab w:val="left" w:pos="360"/>
        </w:tabs>
        <w:spacing w:after="40" w:line="200" w:lineRule="exact"/>
        <w:rPr>
          <w:sz w:val="18"/>
        </w:rPr>
      </w:pPr>
      <w:r>
        <w:rPr>
          <w:sz w:val="18"/>
        </w:rPr>
        <w:tab/>
      </w:r>
      <w:r>
        <w:rPr>
          <w:sz w:val="18"/>
        </w:rPr>
        <w:tab/>
        <w:t>determined in accordance with subparagraph (b)(2) below.</w:t>
      </w:r>
    </w:p>
    <w:p w:rsidR="000165C4" w:rsidRDefault="000165C4">
      <w:pPr>
        <w:tabs>
          <w:tab w:val="left" w:pos="360"/>
          <w:tab w:val="left" w:pos="720"/>
        </w:tabs>
        <w:spacing w:line="200" w:lineRule="exact"/>
        <w:rPr>
          <w:sz w:val="18"/>
        </w:rPr>
      </w:pPr>
      <w:r>
        <w:rPr>
          <w:sz w:val="18"/>
        </w:rPr>
        <w:tab/>
        <w:t>(2)</w:t>
      </w:r>
      <w:r>
        <w:rPr>
          <w:sz w:val="18"/>
        </w:rPr>
        <w:tab/>
        <w:t>The acquisition cost of the facilities shall be the total cost to the Government, as determined by the Buyer o</w:t>
      </w:r>
      <w:r w:rsidR="00EE3616">
        <w:rPr>
          <w:sz w:val="18"/>
        </w:rPr>
        <w:t>r</w:t>
      </w:r>
      <w:r>
        <w:rPr>
          <w:sz w:val="18"/>
        </w:rPr>
        <w:t xml:space="preserve"> Buyer’s </w:t>
      </w:r>
    </w:p>
    <w:p w:rsidR="000165C4" w:rsidRDefault="000165C4">
      <w:pPr>
        <w:tabs>
          <w:tab w:val="left" w:pos="360"/>
          <w:tab w:val="left" w:pos="720"/>
        </w:tabs>
        <w:spacing w:after="40" w:line="200" w:lineRule="exact"/>
        <w:rPr>
          <w:sz w:val="18"/>
        </w:rPr>
      </w:pPr>
      <w:r>
        <w:rPr>
          <w:sz w:val="18"/>
        </w:rPr>
        <w:tab/>
      </w:r>
      <w:r>
        <w:rPr>
          <w:sz w:val="18"/>
        </w:rPr>
        <w:tab/>
        <w:t>Contracting Officer, and includes the cost of transportation and installation, if borne by the Government.</w:t>
      </w:r>
    </w:p>
    <w:p w:rsidR="000165C4" w:rsidRDefault="000165C4">
      <w:pPr>
        <w:numPr>
          <w:ilvl w:val="0"/>
          <w:numId w:val="10"/>
        </w:numPr>
        <w:tabs>
          <w:tab w:val="clear" w:pos="720"/>
          <w:tab w:val="left" w:pos="990"/>
          <w:tab w:val="num" w:pos="1440"/>
        </w:tabs>
        <w:spacing w:after="40" w:line="200" w:lineRule="exact"/>
        <w:ind w:left="1080"/>
        <w:rPr>
          <w:sz w:val="18"/>
        </w:rPr>
      </w:pPr>
      <w:r>
        <w:rPr>
          <w:sz w:val="18"/>
        </w:rPr>
        <w:t>When Government-owned special tooling or accessories are rented with any of the facilities, the acquisition cost of the facilities shall be increased by the total cost to the Government of such tooling or accessories, as determined by the Buyer or Buyer’s Contracting Officer.</w:t>
      </w:r>
    </w:p>
    <w:p w:rsidR="000165C4" w:rsidRDefault="000165C4">
      <w:pPr>
        <w:numPr>
          <w:ilvl w:val="0"/>
          <w:numId w:val="10"/>
        </w:numPr>
        <w:tabs>
          <w:tab w:val="clear" w:pos="720"/>
          <w:tab w:val="num" w:pos="1080"/>
        </w:tabs>
        <w:spacing w:after="40" w:line="200" w:lineRule="exact"/>
        <w:ind w:left="1080"/>
        <w:rPr>
          <w:sz w:val="18"/>
        </w:rPr>
      </w:pPr>
      <w:r>
        <w:rPr>
          <w:sz w:val="18"/>
        </w:rPr>
        <w:t>When any of the facilities are substantially improved at Government expense, the acquisition cost of the facilities shall be increased by the increase in value that the improvement represents, as determined by the Buyer or Buyer’s Contracting Officer.</w:t>
      </w:r>
    </w:p>
    <w:p w:rsidR="000165C4" w:rsidRDefault="00EE3616">
      <w:pPr>
        <w:numPr>
          <w:ilvl w:val="0"/>
          <w:numId w:val="10"/>
        </w:numPr>
        <w:tabs>
          <w:tab w:val="clear" w:pos="720"/>
          <w:tab w:val="num" w:pos="1080"/>
        </w:tabs>
        <w:spacing w:after="40" w:line="200" w:lineRule="exact"/>
        <w:ind w:left="1080"/>
        <w:rPr>
          <w:sz w:val="18"/>
        </w:rPr>
      </w:pPr>
      <w:r>
        <w:rPr>
          <w:sz w:val="18"/>
        </w:rPr>
        <w:t xml:space="preserve">The determinations </w:t>
      </w:r>
      <w:r w:rsidR="000165C4">
        <w:rPr>
          <w:sz w:val="18"/>
        </w:rPr>
        <w:t>of the Buyer or Buyer’s Contracting Officer under this subparagraph (b)(2) shall be final.</w:t>
      </w:r>
    </w:p>
    <w:p w:rsidR="000165C4" w:rsidRDefault="000165C4">
      <w:pPr>
        <w:tabs>
          <w:tab w:val="left" w:pos="360"/>
          <w:tab w:val="left" w:pos="720"/>
        </w:tabs>
        <w:spacing w:after="40" w:line="200" w:lineRule="exact"/>
        <w:rPr>
          <w:sz w:val="18"/>
        </w:rPr>
      </w:pPr>
      <w:r>
        <w:rPr>
          <w:sz w:val="18"/>
        </w:rPr>
        <w:tab/>
        <w:t>(3)</w:t>
      </w:r>
      <w:r>
        <w:rPr>
          <w:sz w:val="18"/>
        </w:rPr>
        <w:tab/>
        <w:t>The rental rates shall be as follows:</w:t>
      </w:r>
    </w:p>
    <w:p w:rsidR="000165C4" w:rsidRDefault="000165C4" w:rsidP="00EE3616">
      <w:pPr>
        <w:numPr>
          <w:ilvl w:val="0"/>
          <w:numId w:val="12"/>
        </w:numPr>
        <w:tabs>
          <w:tab w:val="left" w:pos="360"/>
          <w:tab w:val="left" w:pos="720"/>
        </w:tabs>
        <w:spacing w:after="40" w:line="200" w:lineRule="exact"/>
        <w:ind w:left="1080"/>
        <w:rPr>
          <w:sz w:val="18"/>
        </w:rPr>
      </w:pPr>
      <w:r>
        <w:rPr>
          <w:sz w:val="18"/>
        </w:rPr>
        <w:t>For real property and associated fixtures, a fair and reasonable rental shall be established, based on sound commercial practice.</w:t>
      </w:r>
    </w:p>
    <w:p w:rsidR="000165C4" w:rsidRDefault="000165C4" w:rsidP="00EE3616">
      <w:pPr>
        <w:numPr>
          <w:ilvl w:val="0"/>
          <w:numId w:val="12"/>
        </w:numPr>
        <w:tabs>
          <w:tab w:val="left" w:pos="360"/>
          <w:tab w:val="left" w:pos="720"/>
        </w:tabs>
        <w:spacing w:after="80" w:line="200" w:lineRule="exact"/>
        <w:ind w:left="1080"/>
        <w:rPr>
          <w:sz w:val="18"/>
        </w:rPr>
      </w:pPr>
      <w:r>
        <w:rPr>
          <w:sz w:val="18"/>
        </w:rPr>
        <w:t>For plant equipment of the types covered in Federal Supply Classes 3405, 3408, 3410, and 3411 through 3419, machine tools; and in 3441 through 3449, secondary metal forming and cutting machines, the following monthly rates shall apply:</w:t>
      </w:r>
    </w:p>
    <w:tbl>
      <w:tblPr>
        <w:tblW w:w="0" w:type="auto"/>
        <w:tblInd w:w="2880" w:type="dxa"/>
        <w:tblLayout w:type="fixed"/>
        <w:tblLook w:val="0000" w:firstRow="0" w:lastRow="0" w:firstColumn="0" w:lastColumn="0" w:noHBand="0" w:noVBand="0"/>
      </w:tblPr>
      <w:tblGrid>
        <w:gridCol w:w="2295"/>
        <w:gridCol w:w="2140"/>
      </w:tblGrid>
      <w:tr w:rsidR="000165C4">
        <w:tc>
          <w:tcPr>
            <w:tcW w:w="2295" w:type="dxa"/>
          </w:tcPr>
          <w:p w:rsidR="000165C4" w:rsidRDefault="000165C4" w:rsidP="00EE3616">
            <w:pPr>
              <w:spacing w:line="200" w:lineRule="exact"/>
              <w:rPr>
                <w:b/>
                <w:sz w:val="18"/>
                <w:u w:val="single"/>
              </w:rPr>
            </w:pPr>
            <w:r>
              <w:rPr>
                <w:b/>
                <w:sz w:val="18"/>
                <w:u w:val="single"/>
              </w:rPr>
              <w:t>Age of Equipment</w:t>
            </w:r>
          </w:p>
        </w:tc>
        <w:tc>
          <w:tcPr>
            <w:tcW w:w="2140" w:type="dxa"/>
          </w:tcPr>
          <w:p w:rsidR="000165C4" w:rsidRDefault="000165C4">
            <w:pPr>
              <w:spacing w:line="200" w:lineRule="exact"/>
              <w:jc w:val="center"/>
              <w:rPr>
                <w:b/>
                <w:sz w:val="18"/>
                <w:u w:val="single"/>
              </w:rPr>
            </w:pPr>
            <w:r>
              <w:rPr>
                <w:b/>
                <w:sz w:val="18"/>
                <w:u w:val="single"/>
              </w:rPr>
              <w:t>Monthly Rental Rate</w:t>
            </w:r>
          </w:p>
        </w:tc>
      </w:tr>
      <w:tr w:rsidR="000165C4">
        <w:tc>
          <w:tcPr>
            <w:tcW w:w="2295" w:type="dxa"/>
          </w:tcPr>
          <w:p w:rsidR="000165C4" w:rsidRDefault="000165C4">
            <w:pPr>
              <w:spacing w:line="200" w:lineRule="exact"/>
              <w:rPr>
                <w:sz w:val="18"/>
              </w:rPr>
            </w:pPr>
            <w:r>
              <w:rPr>
                <w:sz w:val="18"/>
              </w:rPr>
              <w:t>Under 2 years old</w:t>
            </w:r>
          </w:p>
        </w:tc>
        <w:tc>
          <w:tcPr>
            <w:tcW w:w="2140" w:type="dxa"/>
          </w:tcPr>
          <w:p w:rsidR="000165C4" w:rsidRDefault="000165C4">
            <w:pPr>
              <w:spacing w:line="200" w:lineRule="exact"/>
              <w:jc w:val="center"/>
              <w:rPr>
                <w:sz w:val="18"/>
              </w:rPr>
            </w:pPr>
            <w:r>
              <w:rPr>
                <w:sz w:val="18"/>
              </w:rPr>
              <w:t>3.0 percent</w:t>
            </w:r>
          </w:p>
        </w:tc>
      </w:tr>
      <w:tr w:rsidR="000165C4">
        <w:tc>
          <w:tcPr>
            <w:tcW w:w="2295" w:type="dxa"/>
          </w:tcPr>
          <w:p w:rsidR="000165C4" w:rsidRDefault="000165C4">
            <w:pPr>
              <w:spacing w:line="200" w:lineRule="exact"/>
              <w:rPr>
                <w:sz w:val="18"/>
              </w:rPr>
            </w:pPr>
            <w:r>
              <w:rPr>
                <w:sz w:val="18"/>
              </w:rPr>
              <w:t>Over 2 to 3 years old</w:t>
            </w:r>
          </w:p>
        </w:tc>
        <w:tc>
          <w:tcPr>
            <w:tcW w:w="2140" w:type="dxa"/>
          </w:tcPr>
          <w:p w:rsidR="000165C4" w:rsidRDefault="000165C4">
            <w:pPr>
              <w:spacing w:line="200" w:lineRule="exact"/>
              <w:jc w:val="center"/>
              <w:rPr>
                <w:sz w:val="18"/>
              </w:rPr>
            </w:pPr>
            <w:r>
              <w:rPr>
                <w:sz w:val="18"/>
              </w:rPr>
              <w:t>2.0 percent</w:t>
            </w:r>
          </w:p>
        </w:tc>
      </w:tr>
      <w:tr w:rsidR="000165C4">
        <w:tc>
          <w:tcPr>
            <w:tcW w:w="2295" w:type="dxa"/>
          </w:tcPr>
          <w:p w:rsidR="000165C4" w:rsidRDefault="000165C4">
            <w:pPr>
              <w:spacing w:line="200" w:lineRule="exact"/>
              <w:rPr>
                <w:sz w:val="18"/>
              </w:rPr>
            </w:pPr>
            <w:r>
              <w:rPr>
                <w:sz w:val="18"/>
              </w:rPr>
              <w:t>Over 3 to 6 years old</w:t>
            </w:r>
          </w:p>
        </w:tc>
        <w:tc>
          <w:tcPr>
            <w:tcW w:w="2140" w:type="dxa"/>
          </w:tcPr>
          <w:p w:rsidR="000165C4" w:rsidRDefault="000165C4">
            <w:pPr>
              <w:spacing w:line="200" w:lineRule="exact"/>
              <w:jc w:val="center"/>
              <w:rPr>
                <w:sz w:val="18"/>
              </w:rPr>
            </w:pPr>
            <w:r>
              <w:rPr>
                <w:sz w:val="18"/>
              </w:rPr>
              <w:t>1.5 percent</w:t>
            </w:r>
          </w:p>
        </w:tc>
      </w:tr>
      <w:tr w:rsidR="000165C4">
        <w:tc>
          <w:tcPr>
            <w:tcW w:w="2295" w:type="dxa"/>
          </w:tcPr>
          <w:p w:rsidR="000165C4" w:rsidRDefault="000165C4">
            <w:pPr>
              <w:spacing w:line="200" w:lineRule="exact"/>
              <w:rPr>
                <w:sz w:val="18"/>
              </w:rPr>
            </w:pPr>
            <w:r>
              <w:rPr>
                <w:sz w:val="18"/>
              </w:rPr>
              <w:t>Over 6 to 10 years old</w:t>
            </w:r>
          </w:p>
        </w:tc>
        <w:tc>
          <w:tcPr>
            <w:tcW w:w="2140" w:type="dxa"/>
          </w:tcPr>
          <w:p w:rsidR="000165C4" w:rsidRDefault="000165C4">
            <w:pPr>
              <w:spacing w:line="200" w:lineRule="exact"/>
              <w:jc w:val="center"/>
              <w:rPr>
                <w:sz w:val="18"/>
              </w:rPr>
            </w:pPr>
            <w:r>
              <w:rPr>
                <w:sz w:val="18"/>
              </w:rPr>
              <w:t>1.0 percent</w:t>
            </w:r>
          </w:p>
        </w:tc>
      </w:tr>
      <w:tr w:rsidR="000165C4">
        <w:tc>
          <w:tcPr>
            <w:tcW w:w="2295" w:type="dxa"/>
          </w:tcPr>
          <w:p w:rsidR="000165C4" w:rsidRDefault="000165C4">
            <w:pPr>
              <w:spacing w:line="200" w:lineRule="exact"/>
              <w:rPr>
                <w:sz w:val="18"/>
              </w:rPr>
            </w:pPr>
            <w:r>
              <w:rPr>
                <w:sz w:val="18"/>
              </w:rPr>
              <w:t>Over 10 years old</w:t>
            </w:r>
          </w:p>
        </w:tc>
        <w:tc>
          <w:tcPr>
            <w:tcW w:w="2140" w:type="dxa"/>
          </w:tcPr>
          <w:p w:rsidR="000165C4" w:rsidRDefault="000165C4">
            <w:pPr>
              <w:spacing w:line="200" w:lineRule="exact"/>
              <w:jc w:val="center"/>
              <w:rPr>
                <w:sz w:val="18"/>
              </w:rPr>
            </w:pPr>
            <w:r>
              <w:rPr>
                <w:sz w:val="18"/>
              </w:rPr>
              <w:t>0.75 percent</w:t>
            </w:r>
          </w:p>
        </w:tc>
      </w:tr>
      <w:tr w:rsidR="000165C4">
        <w:trPr>
          <w:trHeight w:hRule="exact" w:val="80"/>
        </w:trPr>
        <w:tc>
          <w:tcPr>
            <w:tcW w:w="2295" w:type="dxa"/>
          </w:tcPr>
          <w:p w:rsidR="000165C4" w:rsidRDefault="000165C4">
            <w:pPr>
              <w:spacing w:line="200" w:lineRule="exact"/>
              <w:rPr>
                <w:sz w:val="18"/>
              </w:rPr>
            </w:pPr>
          </w:p>
        </w:tc>
        <w:tc>
          <w:tcPr>
            <w:tcW w:w="2140" w:type="dxa"/>
          </w:tcPr>
          <w:p w:rsidR="000165C4" w:rsidRDefault="000165C4">
            <w:pPr>
              <w:spacing w:line="200" w:lineRule="exact"/>
              <w:jc w:val="center"/>
              <w:rPr>
                <w:sz w:val="18"/>
              </w:rPr>
            </w:pPr>
          </w:p>
        </w:tc>
      </w:tr>
    </w:tbl>
    <w:p w:rsidR="000165C4" w:rsidRDefault="000165C4" w:rsidP="00EE3616">
      <w:pPr>
        <w:spacing w:after="40" w:line="200" w:lineRule="exact"/>
        <w:ind w:left="1080"/>
        <w:rPr>
          <w:sz w:val="18"/>
        </w:rPr>
      </w:pPr>
      <w:r>
        <w:rPr>
          <w:sz w:val="18"/>
        </w:rPr>
        <w:t xml:space="preserve">The age of each item of the equipment shall be based on the year in which it was manufactured, with a birthday on January 1 of each year thereafter. For example, an item of equipment manufactured on July 16, </w:t>
      </w:r>
      <w:r w:rsidR="008C78BC">
        <w:rPr>
          <w:sz w:val="18"/>
        </w:rPr>
        <w:t>2011</w:t>
      </w:r>
      <w:r>
        <w:rPr>
          <w:sz w:val="18"/>
        </w:rPr>
        <w:t xml:space="preserve">, will be considered to be “over 1 year old” on and after January 1, </w:t>
      </w:r>
      <w:r w:rsidR="008C78BC">
        <w:rPr>
          <w:sz w:val="18"/>
        </w:rPr>
        <w:t>2012</w:t>
      </w:r>
      <w:r>
        <w:rPr>
          <w:sz w:val="18"/>
        </w:rPr>
        <w:t>, and “over 2 year</w:t>
      </w:r>
      <w:r w:rsidR="008C78BC">
        <w:rPr>
          <w:sz w:val="18"/>
        </w:rPr>
        <w:t>s old” on and after January 1, 2013</w:t>
      </w:r>
      <w:r>
        <w:rPr>
          <w:sz w:val="18"/>
        </w:rPr>
        <w:t>.</w:t>
      </w:r>
    </w:p>
    <w:p w:rsidR="000165C4" w:rsidRDefault="000165C4" w:rsidP="00EE3616">
      <w:pPr>
        <w:numPr>
          <w:ilvl w:val="0"/>
          <w:numId w:val="14"/>
        </w:numPr>
        <w:tabs>
          <w:tab w:val="left" w:pos="360"/>
          <w:tab w:val="left" w:pos="720"/>
          <w:tab w:val="num" w:pos="1440"/>
        </w:tabs>
        <w:spacing w:after="40" w:line="200" w:lineRule="exact"/>
        <w:ind w:left="1080"/>
        <w:rPr>
          <w:sz w:val="18"/>
        </w:rPr>
      </w:pPr>
      <w:r>
        <w:rPr>
          <w:sz w:val="18"/>
        </w:rPr>
        <w:t>For personal property and equipment not covered in (I) or (ii) above, a rental shall be established at not less than the prevailing commercial rate, if any, or, in the absence of such rate, not less than 2 percent per month for electronic test equipment and automotive equipment and not less than 1 percent per month for all other property and equipment.</w:t>
      </w:r>
    </w:p>
    <w:p w:rsidR="000165C4" w:rsidRDefault="000165C4">
      <w:pPr>
        <w:tabs>
          <w:tab w:val="left" w:pos="360"/>
          <w:tab w:val="left" w:pos="720"/>
        </w:tabs>
        <w:spacing w:line="200" w:lineRule="exact"/>
        <w:rPr>
          <w:sz w:val="18"/>
        </w:rPr>
      </w:pPr>
      <w:r>
        <w:rPr>
          <w:sz w:val="18"/>
        </w:rPr>
        <w:t>(c)</w:t>
      </w:r>
      <w:r>
        <w:rPr>
          <w:sz w:val="18"/>
        </w:rPr>
        <w:tab/>
        <w:t xml:space="preserve">Government property identified by the offeror pursuant to this provision shall be submitted by the offeror with </w:t>
      </w:r>
      <w:r w:rsidR="00EE3616">
        <w:rPr>
          <w:sz w:val="18"/>
        </w:rPr>
        <w:t>its</w:t>
      </w:r>
      <w:r>
        <w:rPr>
          <w:sz w:val="18"/>
        </w:rPr>
        <w:t xml:space="preserve"> proposal, as an </w:t>
      </w:r>
    </w:p>
    <w:p w:rsidR="000165C4" w:rsidRDefault="000165C4">
      <w:pPr>
        <w:tabs>
          <w:tab w:val="left" w:pos="360"/>
          <w:tab w:val="left" w:pos="720"/>
        </w:tabs>
        <w:spacing w:line="200" w:lineRule="exact"/>
        <w:rPr>
          <w:sz w:val="18"/>
        </w:rPr>
      </w:pPr>
      <w:r>
        <w:rPr>
          <w:sz w:val="18"/>
        </w:rPr>
        <w:tab/>
        <w:t>attachment, entitled “List of Government Facilities, Special Tooling and Test Equipment to be Used on a No-Charge Basis.”</w:t>
      </w:r>
    </w:p>
    <w:p w:rsidR="000165C4" w:rsidRDefault="000165C4">
      <w:pPr>
        <w:tabs>
          <w:tab w:val="left" w:pos="360"/>
          <w:tab w:val="left" w:pos="720"/>
        </w:tabs>
        <w:spacing w:line="200" w:lineRule="exact"/>
        <w:rPr>
          <w:sz w:val="18"/>
        </w:rPr>
      </w:pPr>
    </w:p>
    <w:p w:rsidR="000165C4" w:rsidRDefault="000165C4">
      <w:pPr>
        <w:spacing w:line="200" w:lineRule="exact"/>
        <w:rPr>
          <w:sz w:val="18"/>
        </w:rPr>
      </w:pPr>
      <w:r>
        <w:rPr>
          <w:b/>
          <w:sz w:val="18"/>
        </w:rPr>
        <w:t>NOTE:</w:t>
      </w:r>
      <w:r>
        <w:rPr>
          <w:sz w:val="18"/>
        </w:rPr>
        <w:t xml:space="preserve"> No use of Government-owned property other than that prescribed above will be authorized under the resulting contract unless such use is approved in writing by the Contracting Officer having cognizance of the property</w:t>
      </w:r>
      <w:r w:rsidR="00EE3616">
        <w:rPr>
          <w:sz w:val="18"/>
        </w:rPr>
        <w:t>,</w:t>
      </w:r>
      <w:r>
        <w:rPr>
          <w:sz w:val="18"/>
        </w:rPr>
        <w:t xml:space="preserve"> and either rent computed in accordance with paragraph (b) above is charged to and paid by the offeror</w:t>
      </w:r>
      <w:r w:rsidR="00EE3616">
        <w:rPr>
          <w:sz w:val="18"/>
        </w:rPr>
        <w:t>,</w:t>
      </w:r>
      <w:r>
        <w:rPr>
          <w:sz w:val="18"/>
        </w:rPr>
        <w:t xml:space="preserve"> or the contract price/estimated cost is reduced by an equivalent amount.</w:t>
      </w:r>
    </w:p>
    <w:p w:rsidR="000165C4" w:rsidRDefault="000165C4">
      <w:pPr>
        <w:spacing w:line="200" w:lineRule="exact"/>
        <w:rPr>
          <w:sz w:val="18"/>
        </w:rPr>
      </w:pPr>
    </w:p>
    <w:p w:rsidR="000165C4" w:rsidRDefault="000165C4">
      <w:pPr>
        <w:spacing w:line="200" w:lineRule="exact"/>
        <w:rPr>
          <w:sz w:val="18"/>
        </w:rPr>
      </w:pPr>
    </w:p>
    <w:p w:rsidR="000165C4" w:rsidRDefault="000165C4">
      <w:pPr>
        <w:spacing w:line="200" w:lineRule="exact"/>
        <w:rPr>
          <w:b/>
          <w:sz w:val="18"/>
        </w:rPr>
      </w:pPr>
      <w:r>
        <w:rPr>
          <w:b/>
          <w:sz w:val="18"/>
        </w:rPr>
        <w:t xml:space="preserve">_______________________________ </w:t>
      </w:r>
      <w:r>
        <w:rPr>
          <w:b/>
          <w:sz w:val="18"/>
        </w:rPr>
        <w:tab/>
      </w:r>
      <w:r>
        <w:rPr>
          <w:b/>
          <w:sz w:val="18"/>
        </w:rPr>
        <w:tab/>
      </w:r>
      <w:r>
        <w:rPr>
          <w:b/>
          <w:sz w:val="18"/>
        </w:rPr>
        <w:tab/>
        <w:t>__________________________________________________</w:t>
      </w:r>
    </w:p>
    <w:p w:rsidR="000165C4" w:rsidRDefault="000165C4">
      <w:pPr>
        <w:spacing w:line="200" w:lineRule="exact"/>
        <w:rPr>
          <w:sz w:val="18"/>
        </w:rPr>
      </w:pPr>
      <w:r>
        <w:rPr>
          <w:sz w:val="18"/>
        </w:rPr>
        <w:t>Date</w:t>
      </w:r>
      <w:r>
        <w:rPr>
          <w:sz w:val="18"/>
        </w:rPr>
        <w:tab/>
      </w:r>
      <w:r>
        <w:rPr>
          <w:sz w:val="18"/>
        </w:rPr>
        <w:tab/>
      </w:r>
      <w:r>
        <w:rPr>
          <w:sz w:val="18"/>
        </w:rPr>
        <w:tab/>
      </w:r>
      <w:r>
        <w:rPr>
          <w:sz w:val="18"/>
        </w:rPr>
        <w:tab/>
      </w:r>
      <w:r>
        <w:rPr>
          <w:sz w:val="18"/>
        </w:rPr>
        <w:tab/>
      </w:r>
      <w:r>
        <w:rPr>
          <w:sz w:val="18"/>
        </w:rPr>
        <w:tab/>
      </w:r>
      <w:r>
        <w:rPr>
          <w:sz w:val="18"/>
        </w:rPr>
        <w:tab/>
        <w:t>Name of Company</w:t>
      </w:r>
    </w:p>
    <w:p w:rsidR="000165C4" w:rsidRDefault="000165C4">
      <w:pPr>
        <w:spacing w:line="200" w:lineRule="exact"/>
        <w:rPr>
          <w:sz w:val="18"/>
        </w:rPr>
      </w:pPr>
    </w:p>
    <w:p w:rsidR="000165C4" w:rsidRDefault="000165C4">
      <w:pPr>
        <w:spacing w:line="200" w:lineRule="exact"/>
        <w:rPr>
          <w:sz w:val="18"/>
        </w:rPr>
      </w:pPr>
      <w:r>
        <w:rPr>
          <w:sz w:val="18"/>
        </w:rPr>
        <w:tab/>
      </w:r>
      <w:r>
        <w:rPr>
          <w:sz w:val="18"/>
        </w:rPr>
        <w:tab/>
      </w:r>
      <w:r>
        <w:rPr>
          <w:sz w:val="18"/>
        </w:rPr>
        <w:tab/>
      </w:r>
      <w:r>
        <w:rPr>
          <w:sz w:val="18"/>
        </w:rPr>
        <w:tab/>
      </w:r>
      <w:r>
        <w:rPr>
          <w:sz w:val="18"/>
        </w:rPr>
        <w:tab/>
      </w:r>
      <w:r>
        <w:rPr>
          <w:sz w:val="18"/>
        </w:rPr>
        <w:tab/>
      </w:r>
      <w:r>
        <w:rPr>
          <w:sz w:val="18"/>
        </w:rPr>
        <w:tab/>
        <w:t>__________________________________________________</w:t>
      </w:r>
    </w:p>
    <w:p w:rsidR="000165C4" w:rsidRDefault="000165C4">
      <w:pPr>
        <w:spacing w:line="200" w:lineRule="exact"/>
        <w:rPr>
          <w:sz w:val="18"/>
        </w:rPr>
      </w:pPr>
      <w:r>
        <w:rPr>
          <w:sz w:val="18"/>
        </w:rPr>
        <w:tab/>
      </w:r>
      <w:r>
        <w:rPr>
          <w:sz w:val="18"/>
        </w:rPr>
        <w:tab/>
      </w:r>
      <w:r>
        <w:rPr>
          <w:sz w:val="18"/>
        </w:rPr>
        <w:tab/>
      </w:r>
      <w:r>
        <w:rPr>
          <w:sz w:val="18"/>
        </w:rPr>
        <w:tab/>
      </w:r>
      <w:r>
        <w:rPr>
          <w:sz w:val="18"/>
        </w:rPr>
        <w:tab/>
      </w:r>
      <w:r>
        <w:rPr>
          <w:sz w:val="18"/>
        </w:rPr>
        <w:tab/>
      </w:r>
      <w:r>
        <w:rPr>
          <w:sz w:val="18"/>
        </w:rPr>
        <w:tab/>
        <w:t>Signature and Title</w:t>
      </w:r>
    </w:p>
    <w:sectPr w:rsidR="000165C4" w:rsidSect="006E5BA3">
      <w:headerReference w:type="default" r:id="rId7"/>
      <w:footerReference w:type="default" r:id="rId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8AE" w:rsidRDefault="00AB68AE">
      <w:r>
        <w:separator/>
      </w:r>
    </w:p>
  </w:endnote>
  <w:endnote w:type="continuationSeparator" w:id="0">
    <w:p w:rsidR="00AB68AE" w:rsidRDefault="00AB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5C4" w:rsidRDefault="00E94BEC">
    <w:pPr>
      <w:pStyle w:val="Footer"/>
      <w:tabs>
        <w:tab w:val="clear" w:pos="4320"/>
        <w:tab w:val="center" w:pos="5040"/>
      </w:tabs>
      <w:rPr>
        <w:sz w:val="14"/>
      </w:rPr>
    </w:pPr>
    <w:r>
      <w:rPr>
        <w:sz w:val="14"/>
      </w:rPr>
      <w:t>SSF P4493 (</w:t>
    </w:r>
    <w:r w:rsidR="008C78BC">
      <w:rPr>
        <w:sz w:val="14"/>
      </w:rPr>
      <w:t>08/</w:t>
    </w:r>
    <w:r w:rsidR="00A81023">
      <w:rPr>
        <w:sz w:val="14"/>
      </w:rPr>
      <w:t>22</w:t>
    </w:r>
    <w:r w:rsidR="008C78BC">
      <w:rPr>
        <w:sz w:val="14"/>
      </w:rPr>
      <w:t>/11</w:t>
    </w:r>
    <w:r w:rsidR="000165C4">
      <w:rPr>
        <w:sz w:val="14"/>
      </w:rPr>
      <w:t>)</w:t>
    </w:r>
  </w:p>
  <w:p w:rsidR="000165C4" w:rsidRDefault="008C78BC">
    <w:pPr>
      <w:pStyle w:val="Footer"/>
      <w:tabs>
        <w:tab w:val="clear" w:pos="4320"/>
        <w:tab w:val="center" w:pos="5040"/>
      </w:tabs>
      <w:rPr>
        <w:b/>
        <w:bCs/>
        <w:sz w:val="16"/>
      </w:rPr>
    </w:pPr>
    <w:r>
      <w:rPr>
        <w:b/>
        <w:bCs/>
        <w:sz w:val="16"/>
      </w:rPr>
      <w:t xml:space="preserve">Ingalls </w:t>
    </w:r>
    <w:r w:rsidR="00E94BEC">
      <w:rPr>
        <w:b/>
        <w:bCs/>
        <w:sz w:val="16"/>
      </w:rPr>
      <w:t>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8AE" w:rsidRDefault="00AB68AE">
      <w:r>
        <w:separator/>
      </w:r>
    </w:p>
  </w:footnote>
  <w:footnote w:type="continuationSeparator" w:id="0">
    <w:p w:rsidR="00AB68AE" w:rsidRDefault="00AB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5C4" w:rsidRDefault="004F07AD">
    <w:pPr>
      <w:pStyle w:val="Header"/>
      <w:spacing w:before="40" w:after="120"/>
    </w:pPr>
    <w:r>
      <w:rPr>
        <w:noProof/>
      </w:rPr>
      <w:drawing>
        <wp:inline distT="0" distB="0" distL="0" distR="0" wp14:anchorId="06902BBC" wp14:editId="34C3B27A">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D4A"/>
    <w:multiLevelType w:val="singleLevel"/>
    <w:tmpl w:val="1EAAEA9C"/>
    <w:lvl w:ilvl="0">
      <w:start w:val="3"/>
      <w:numFmt w:val="lowerRoman"/>
      <w:lvlText w:val="(%1)"/>
      <w:lvlJc w:val="left"/>
      <w:pPr>
        <w:tabs>
          <w:tab w:val="num" w:pos="720"/>
        </w:tabs>
        <w:ind w:left="360" w:hanging="360"/>
      </w:pPr>
    </w:lvl>
  </w:abstractNum>
  <w:abstractNum w:abstractNumId="1" w15:restartNumberingAfterBreak="0">
    <w:nsid w:val="0FBB1EC1"/>
    <w:multiLevelType w:val="singleLevel"/>
    <w:tmpl w:val="36CA503E"/>
    <w:lvl w:ilvl="0">
      <w:start w:val="1"/>
      <w:numFmt w:val="lowerRoman"/>
      <w:lvlText w:val="(%1)"/>
      <w:lvlJc w:val="left"/>
      <w:pPr>
        <w:tabs>
          <w:tab w:val="num" w:pos="720"/>
        </w:tabs>
        <w:ind w:left="360" w:hanging="360"/>
      </w:pPr>
    </w:lvl>
  </w:abstractNum>
  <w:abstractNum w:abstractNumId="2" w15:restartNumberingAfterBreak="0">
    <w:nsid w:val="0FD74D09"/>
    <w:multiLevelType w:val="singleLevel"/>
    <w:tmpl w:val="36CA503E"/>
    <w:lvl w:ilvl="0">
      <w:start w:val="1"/>
      <w:numFmt w:val="lowerRoman"/>
      <w:lvlText w:val="(%1)"/>
      <w:lvlJc w:val="left"/>
      <w:pPr>
        <w:tabs>
          <w:tab w:val="num" w:pos="720"/>
        </w:tabs>
        <w:ind w:left="360" w:hanging="360"/>
      </w:pPr>
    </w:lvl>
  </w:abstractNum>
  <w:abstractNum w:abstractNumId="3" w15:restartNumberingAfterBreak="0">
    <w:nsid w:val="13B64F3E"/>
    <w:multiLevelType w:val="singleLevel"/>
    <w:tmpl w:val="6D82AFC2"/>
    <w:lvl w:ilvl="0">
      <w:start w:val="1"/>
      <w:numFmt w:val="decimal"/>
      <w:lvlText w:val="(%1)"/>
      <w:lvlJc w:val="left"/>
      <w:pPr>
        <w:tabs>
          <w:tab w:val="num" w:pos="360"/>
        </w:tabs>
        <w:ind w:left="360" w:hanging="360"/>
      </w:pPr>
    </w:lvl>
  </w:abstractNum>
  <w:abstractNum w:abstractNumId="4" w15:restartNumberingAfterBreak="0">
    <w:nsid w:val="47097AD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A104E82"/>
    <w:multiLevelType w:val="singleLevel"/>
    <w:tmpl w:val="975400BE"/>
    <w:lvl w:ilvl="0">
      <w:start w:val="2"/>
      <w:numFmt w:val="lowerLetter"/>
      <w:lvlText w:val="(%1)"/>
      <w:lvlJc w:val="left"/>
      <w:pPr>
        <w:tabs>
          <w:tab w:val="num" w:pos="360"/>
        </w:tabs>
        <w:ind w:left="360" w:hanging="360"/>
      </w:pPr>
    </w:lvl>
  </w:abstractNum>
  <w:abstractNum w:abstractNumId="6" w15:restartNumberingAfterBreak="0">
    <w:nsid w:val="5F6163A8"/>
    <w:multiLevelType w:val="singleLevel"/>
    <w:tmpl w:val="36CA503E"/>
    <w:lvl w:ilvl="0">
      <w:start w:val="1"/>
      <w:numFmt w:val="lowerRoman"/>
      <w:lvlText w:val="(%1)"/>
      <w:lvlJc w:val="left"/>
      <w:pPr>
        <w:tabs>
          <w:tab w:val="num" w:pos="720"/>
        </w:tabs>
        <w:ind w:left="360" w:hanging="360"/>
      </w:pPr>
    </w:lvl>
  </w:abstractNum>
  <w:abstractNum w:abstractNumId="7" w15:restartNumberingAfterBreak="0">
    <w:nsid w:val="5FA2136A"/>
    <w:multiLevelType w:val="singleLevel"/>
    <w:tmpl w:val="1B1C6E4A"/>
    <w:lvl w:ilvl="0">
      <w:start w:val="1"/>
      <w:numFmt w:val="lowerLetter"/>
      <w:lvlText w:val="(%1)"/>
      <w:lvlJc w:val="left"/>
      <w:pPr>
        <w:tabs>
          <w:tab w:val="num" w:pos="360"/>
        </w:tabs>
        <w:ind w:left="360" w:hanging="360"/>
      </w:pPr>
    </w:lvl>
  </w:abstractNum>
  <w:abstractNum w:abstractNumId="8" w15:restartNumberingAfterBreak="0">
    <w:nsid w:val="634F11AE"/>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662F706B"/>
    <w:multiLevelType w:val="singleLevel"/>
    <w:tmpl w:val="36CA503E"/>
    <w:lvl w:ilvl="0">
      <w:start w:val="1"/>
      <w:numFmt w:val="lowerRoman"/>
      <w:lvlText w:val="(%1)"/>
      <w:lvlJc w:val="left"/>
      <w:pPr>
        <w:tabs>
          <w:tab w:val="num" w:pos="720"/>
        </w:tabs>
        <w:ind w:left="360" w:hanging="360"/>
      </w:pPr>
    </w:lvl>
  </w:abstractNum>
  <w:abstractNum w:abstractNumId="10" w15:restartNumberingAfterBreak="0">
    <w:nsid w:val="67A910C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8A727DB"/>
    <w:multiLevelType w:val="singleLevel"/>
    <w:tmpl w:val="5924177A"/>
    <w:lvl w:ilvl="0">
      <w:start w:val="2"/>
      <w:numFmt w:val="decimal"/>
      <w:lvlText w:val="(%1)"/>
      <w:lvlJc w:val="left"/>
      <w:pPr>
        <w:tabs>
          <w:tab w:val="num" w:pos="360"/>
        </w:tabs>
        <w:ind w:left="360" w:hanging="360"/>
      </w:pPr>
    </w:lvl>
  </w:abstractNum>
  <w:abstractNum w:abstractNumId="12" w15:restartNumberingAfterBreak="0">
    <w:nsid w:val="74FF1B2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5B32E6A"/>
    <w:multiLevelType w:val="singleLevel"/>
    <w:tmpl w:val="C46AA8B6"/>
    <w:lvl w:ilvl="0">
      <w:start w:val="1"/>
      <w:numFmt w:val="decimal"/>
      <w:lvlText w:val="(b)   (%1)"/>
      <w:lvlJc w:val="left"/>
      <w:pPr>
        <w:tabs>
          <w:tab w:val="num" w:pos="720"/>
        </w:tabs>
        <w:ind w:left="360" w:hanging="360"/>
      </w:pPr>
    </w:lvl>
  </w:abstractNum>
  <w:num w:numId="1">
    <w:abstractNumId w:val="4"/>
  </w:num>
  <w:num w:numId="2">
    <w:abstractNumId w:val="8"/>
  </w:num>
  <w:num w:numId="3">
    <w:abstractNumId w:val="12"/>
  </w:num>
  <w:num w:numId="4">
    <w:abstractNumId w:val="10"/>
  </w:num>
  <w:num w:numId="5">
    <w:abstractNumId w:val="7"/>
  </w:num>
  <w:num w:numId="6">
    <w:abstractNumId w:val="3"/>
  </w:num>
  <w:num w:numId="7">
    <w:abstractNumId w:val="5"/>
  </w:num>
  <w:num w:numId="8">
    <w:abstractNumId w:val="13"/>
  </w:num>
  <w:num w:numId="9">
    <w:abstractNumId w:val="11"/>
  </w:num>
  <w:num w:numId="10">
    <w:abstractNumId w:val="1"/>
  </w:num>
  <w:num w:numId="11">
    <w:abstractNumId w:val="6"/>
  </w:num>
  <w:num w:numId="12">
    <w:abstractNumId w:val="9"/>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B54pQ7MsKnlfL7GnBObHVLtNvVv5oqulhgxXUqi59P9aV3Gyf7B8w2xd4tawyduJ3FPjf2yZ8JR4wgsbVsbw==" w:salt="Kh4QxGF/XhH6OTPUpuHi9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BEC"/>
    <w:rsid w:val="000165C4"/>
    <w:rsid w:val="004F07AD"/>
    <w:rsid w:val="006E5BA3"/>
    <w:rsid w:val="00782C99"/>
    <w:rsid w:val="008C78BC"/>
    <w:rsid w:val="009C25F8"/>
    <w:rsid w:val="00A81023"/>
    <w:rsid w:val="00AB68AE"/>
    <w:rsid w:val="00AD733E"/>
    <w:rsid w:val="00B13496"/>
    <w:rsid w:val="00DF4D3B"/>
    <w:rsid w:val="00E94BEC"/>
    <w:rsid w:val="00EE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E107F7-963D-41B6-AD4D-2CBBD827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BA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5BA3"/>
    <w:pPr>
      <w:tabs>
        <w:tab w:val="center" w:pos="4320"/>
        <w:tab w:val="right" w:pos="8640"/>
      </w:tabs>
    </w:pPr>
  </w:style>
  <w:style w:type="paragraph" w:styleId="Footer">
    <w:name w:val="footer"/>
    <w:basedOn w:val="Normal"/>
    <w:rsid w:val="006E5BA3"/>
    <w:pPr>
      <w:tabs>
        <w:tab w:val="center" w:pos="4320"/>
        <w:tab w:val="right" w:pos="8640"/>
      </w:tabs>
    </w:pPr>
  </w:style>
  <w:style w:type="paragraph" w:styleId="BalloonText">
    <w:name w:val="Balloon Text"/>
    <w:basedOn w:val="Normal"/>
    <w:link w:val="BalloonTextChar"/>
    <w:rsid w:val="008C78BC"/>
    <w:rPr>
      <w:rFonts w:ascii="Tahoma" w:hAnsi="Tahoma" w:cs="Tahoma"/>
      <w:sz w:val="16"/>
      <w:szCs w:val="16"/>
    </w:rPr>
  </w:style>
  <w:style w:type="character" w:customStyle="1" w:styleId="BalloonTextChar">
    <w:name w:val="Balloon Text Char"/>
    <w:basedOn w:val="DefaultParagraphFont"/>
    <w:link w:val="BalloonText"/>
    <w:rsid w:val="008C7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4081</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Use of Existing Government Property</vt:lpstr>
    </vt:vector>
  </TitlesOfParts>
  <Company>Shipbuilding-Gulf Coast</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Existing Government Property</dc:title>
  <dc:subject>SSF P4493</dc:subject>
  <dc:creator>TL Susan Bowman, Material</dc:creator>
  <cp:keywords/>
  <dc:description/>
  <cp:lastModifiedBy>Green, Angela D (HII-Ingalls)</cp:lastModifiedBy>
  <cp:revision>2</cp:revision>
  <cp:lastPrinted>2011-08-22T21:12:00Z</cp:lastPrinted>
  <dcterms:created xsi:type="dcterms:W3CDTF">2025-05-28T11:50:00Z</dcterms:created>
  <dcterms:modified xsi:type="dcterms:W3CDTF">2025-05-28T11:50:00Z</dcterms:modified>
  <cp:category>Form</cp:category>
</cp:coreProperties>
</file>